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296"/>
        <w:gridCol w:w="4284"/>
      </w:tblGrid>
      <w:tr w:rsidR="004053E9" w:rsidTr="0026108F">
        <w:trPr>
          <w:trHeight w:val="2516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</w:rPr>
            </w:pP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КУЖБАХТЫ АУЫЛ СОВЕТЫ</w:t>
            </w:r>
          </w:p>
          <w:p w:rsidR="004053E9" w:rsidRDefault="004053E9" w:rsidP="0026108F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  <w:r w:rsidR="00960753">
              <w:rPr>
                <w:b/>
              </w:rPr>
              <w:t xml:space="preserve"> СОВЕТЫ</w:t>
            </w:r>
          </w:p>
          <w:p w:rsidR="004053E9" w:rsidRDefault="00960753" w:rsidP="0026108F">
            <w:pPr>
              <w:jc w:val="center"/>
            </w:pPr>
            <w:r>
              <w:rPr>
                <w:b/>
              </w:rPr>
              <w:t xml:space="preserve"> 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t xml:space="preserve">452273, </w:t>
            </w:r>
            <w:r>
              <w:rPr>
                <w:lang w:val="be-BY"/>
              </w:rPr>
              <w:t>Тәжәй  ауылы, Мәскәү урамы,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3-41-26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053E9" w:rsidRDefault="00D64497" w:rsidP="0026108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171450</wp:posOffset>
                  </wp:positionV>
                  <wp:extent cx="747395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  <w:r w:rsidR="00960753">
              <w:rPr>
                <w:b/>
                <w:lang w:val="be-BY"/>
              </w:rPr>
              <w:t>СОВЕТ</w:t>
            </w:r>
          </w:p>
          <w:p w:rsidR="004053E9" w:rsidRDefault="00960753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="004053E9">
              <w:rPr>
                <w:b/>
                <w:lang w:val="be-BY"/>
              </w:rPr>
              <w:t xml:space="preserve">СЕЛЬСКОГО  ПОСЕЛЕНИЯ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КУЖБАХТИНСКИЙ  СЕЛЬСОВЕТ </w:t>
            </w:r>
          </w:p>
          <w:p w:rsidR="004053E9" w:rsidRDefault="004053E9" w:rsidP="0026108F">
            <w:pPr>
              <w:jc w:val="center"/>
              <w:rPr>
                <w:b/>
                <w:lang w:val="be-BY"/>
              </w:rPr>
            </w:pPr>
          </w:p>
          <w:p w:rsidR="004053E9" w:rsidRDefault="004053E9" w:rsidP="0026108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452273, с.Тазеево, ул.Московская, 2</w:t>
            </w:r>
          </w:p>
          <w:p w:rsidR="004053E9" w:rsidRDefault="004053E9" w:rsidP="0026108F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 3-41-26</w:t>
            </w:r>
          </w:p>
        </w:tc>
      </w:tr>
    </w:tbl>
    <w:p w:rsidR="004053E9" w:rsidRDefault="004053E9" w:rsidP="004053E9">
      <w:pPr>
        <w:pStyle w:val="3"/>
        <w:rPr>
          <w:b/>
          <w:bCs/>
        </w:rPr>
      </w:pPr>
    </w:p>
    <w:p w:rsidR="00CF7AFC" w:rsidRPr="006C5209" w:rsidRDefault="00CF7AFC" w:rsidP="00902D82">
      <w:pPr>
        <w:pStyle w:val="3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C5209" w:rsidRPr="006C5209">
        <w:rPr>
          <w:b/>
          <w:bCs/>
          <w:sz w:val="28"/>
          <w:szCs w:val="28"/>
        </w:rPr>
        <w:t>РЕШЕНИЕ</w:t>
      </w:r>
      <w:r w:rsidRPr="006C5209">
        <w:rPr>
          <w:b/>
          <w:bCs/>
          <w:sz w:val="28"/>
          <w:szCs w:val="28"/>
        </w:rPr>
        <w:tab/>
      </w:r>
      <w:r w:rsidRPr="006C5209">
        <w:rPr>
          <w:b/>
          <w:bCs/>
          <w:sz w:val="28"/>
          <w:szCs w:val="28"/>
        </w:rPr>
        <w:tab/>
      </w:r>
      <w:r w:rsidRPr="006C5209">
        <w:rPr>
          <w:b/>
          <w:bCs/>
          <w:sz w:val="28"/>
          <w:szCs w:val="28"/>
        </w:rPr>
        <w:tab/>
      </w:r>
      <w:r w:rsidRPr="006C5209">
        <w:rPr>
          <w:b/>
          <w:bCs/>
          <w:sz w:val="28"/>
          <w:szCs w:val="28"/>
        </w:rPr>
        <w:tab/>
      </w:r>
    </w:p>
    <w:p w:rsidR="006C5209" w:rsidRPr="006C5209" w:rsidRDefault="006C5209" w:rsidP="00902D82">
      <w:pPr>
        <w:jc w:val="center"/>
        <w:rPr>
          <w:sz w:val="28"/>
          <w:szCs w:val="28"/>
        </w:rPr>
      </w:pPr>
      <w:r w:rsidRPr="006C5209">
        <w:rPr>
          <w:b/>
          <w:sz w:val="28"/>
          <w:szCs w:val="28"/>
        </w:rPr>
        <w:t>О внесении изменения в решение Совета от «</w:t>
      </w:r>
      <w:r>
        <w:rPr>
          <w:b/>
          <w:sz w:val="28"/>
          <w:szCs w:val="28"/>
        </w:rPr>
        <w:t>28</w:t>
      </w:r>
      <w:r w:rsidRPr="006C5209">
        <w:rPr>
          <w:b/>
          <w:sz w:val="28"/>
          <w:szCs w:val="28"/>
        </w:rPr>
        <w:t>» ноября  2019 № </w:t>
      </w:r>
      <w:r>
        <w:rPr>
          <w:b/>
          <w:sz w:val="28"/>
          <w:szCs w:val="28"/>
        </w:rPr>
        <w:t>3-1</w:t>
      </w:r>
      <w:r w:rsidRPr="006C5209">
        <w:rPr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r>
        <w:rPr>
          <w:b/>
          <w:sz w:val="28"/>
          <w:szCs w:val="28"/>
        </w:rPr>
        <w:t xml:space="preserve">Кужбахтинский </w:t>
      </w:r>
      <w:r w:rsidRPr="006C5209">
        <w:rPr>
          <w:b/>
          <w:sz w:val="28"/>
          <w:szCs w:val="28"/>
        </w:rPr>
        <w:t>сельсовет муниципального района Илишевский район Республики Башкортостан»</w:t>
      </w:r>
    </w:p>
    <w:p w:rsidR="006C5209" w:rsidRPr="006C5209" w:rsidRDefault="006C5209" w:rsidP="00902D82">
      <w:pPr>
        <w:jc w:val="both"/>
        <w:rPr>
          <w:sz w:val="28"/>
          <w:szCs w:val="28"/>
        </w:rPr>
      </w:pPr>
    </w:p>
    <w:p w:rsidR="006C5209" w:rsidRPr="006C5209" w:rsidRDefault="006C5209" w:rsidP="0090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5209"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Устав</w:t>
      </w:r>
      <w:r>
        <w:rPr>
          <w:sz w:val="28"/>
          <w:szCs w:val="28"/>
        </w:rPr>
        <w:t>ом</w:t>
      </w:r>
      <w:r w:rsidRPr="006C520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Кужбахтинский</w:t>
      </w:r>
      <w:r w:rsidRPr="006C5209">
        <w:rPr>
          <w:sz w:val="28"/>
          <w:szCs w:val="28"/>
        </w:rPr>
        <w:t xml:space="preserve"> сельсовет муниципального района Илишевский район Республики Башкортостан,</w:t>
      </w:r>
      <w:r w:rsidR="00902D82">
        <w:rPr>
          <w:sz w:val="28"/>
          <w:szCs w:val="28"/>
        </w:rPr>
        <w:t xml:space="preserve"> </w:t>
      </w:r>
      <w:r w:rsidRPr="006C5209">
        <w:rPr>
          <w:sz w:val="28"/>
          <w:szCs w:val="28"/>
        </w:rPr>
        <w:t>представительный орган муниципального образования Совет сельского поселения</w:t>
      </w:r>
      <w:r>
        <w:rPr>
          <w:sz w:val="28"/>
          <w:szCs w:val="28"/>
        </w:rPr>
        <w:t xml:space="preserve"> Кужбахтинский</w:t>
      </w:r>
      <w:r w:rsidR="00902D82">
        <w:rPr>
          <w:sz w:val="28"/>
          <w:szCs w:val="28"/>
        </w:rPr>
        <w:t xml:space="preserve"> </w:t>
      </w:r>
      <w:r w:rsidRPr="006C5209">
        <w:rPr>
          <w:sz w:val="28"/>
          <w:szCs w:val="28"/>
        </w:rPr>
        <w:t>сельсовет муниципального района Илишевский район Республики Башкортостан решил:</w:t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</w:p>
    <w:p w:rsidR="006C5209" w:rsidRPr="006C5209" w:rsidRDefault="00902D82" w:rsidP="0090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209" w:rsidRPr="006C5209">
        <w:rPr>
          <w:sz w:val="28"/>
          <w:szCs w:val="28"/>
        </w:rPr>
        <w:t>1. Внести в реш</w:t>
      </w:r>
      <w:r>
        <w:rPr>
          <w:sz w:val="28"/>
          <w:szCs w:val="28"/>
        </w:rPr>
        <w:t>ение Совета сельского поселения Кужбахтинский</w:t>
      </w:r>
      <w:r w:rsidR="006C5209" w:rsidRPr="006C5209">
        <w:rPr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sz w:val="28"/>
          <w:szCs w:val="28"/>
        </w:rPr>
        <w:t xml:space="preserve"> </w:t>
      </w:r>
      <w:r w:rsidR="006C5209" w:rsidRPr="006C5209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="006C5209" w:rsidRPr="006C520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6C5209" w:rsidRPr="006C5209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="006C5209" w:rsidRPr="006C5209">
        <w:rPr>
          <w:sz w:val="28"/>
          <w:szCs w:val="28"/>
        </w:rPr>
        <w:t>№ </w:t>
      </w:r>
      <w:r>
        <w:rPr>
          <w:sz w:val="28"/>
          <w:szCs w:val="28"/>
        </w:rPr>
        <w:t xml:space="preserve">3-1 </w:t>
      </w:r>
      <w:r w:rsidR="006C5209" w:rsidRPr="006C5209">
        <w:rPr>
          <w:sz w:val="28"/>
          <w:szCs w:val="28"/>
        </w:rPr>
        <w:t>«Об установлении земельного налога» следующее изменение:</w:t>
      </w:r>
      <w:r>
        <w:rPr>
          <w:sz w:val="28"/>
          <w:szCs w:val="28"/>
        </w:rPr>
        <w:t xml:space="preserve"> </w:t>
      </w:r>
      <w:r w:rsidR="006C5209" w:rsidRPr="006C5209">
        <w:rPr>
          <w:sz w:val="28"/>
          <w:szCs w:val="28"/>
        </w:rPr>
        <w:t>Пункт 4 дополнить подпунктом 4.4. следующего содержания:</w:t>
      </w:r>
    </w:p>
    <w:p w:rsidR="006C5209" w:rsidRDefault="006C5209" w:rsidP="00902D82">
      <w:pPr>
        <w:jc w:val="both"/>
        <w:rPr>
          <w:sz w:val="28"/>
          <w:szCs w:val="28"/>
        </w:rPr>
      </w:pPr>
      <w:r w:rsidRPr="006C5209">
        <w:rPr>
          <w:sz w:val="28"/>
          <w:szCs w:val="28"/>
        </w:rPr>
        <w:t xml:space="preserve"> «4.4.Не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</w:p>
    <w:p w:rsidR="00902D82" w:rsidRPr="006C5209" w:rsidRDefault="00902D82" w:rsidP="00902D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13"/>
      </w:tblGrid>
      <w:tr w:rsidR="006C5209" w:rsidRPr="006C5209" w:rsidTr="00261C94">
        <w:trPr>
          <w:trHeight w:val="535"/>
        </w:trPr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6C5209" w:rsidRPr="006C5209" w:rsidTr="00261C94">
        <w:trPr>
          <w:trHeight w:val="365"/>
        </w:trPr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lastRenderedPageBreak/>
              <w:t>56.1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85.41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93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96.04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C5209" w:rsidRPr="006C5209" w:rsidTr="00261C94">
        <w:tc>
          <w:tcPr>
            <w:tcW w:w="1384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:rsidR="006C5209" w:rsidRPr="006C5209" w:rsidRDefault="006C5209" w:rsidP="00902D82">
            <w:pPr>
              <w:jc w:val="both"/>
              <w:rPr>
                <w:sz w:val="28"/>
                <w:szCs w:val="28"/>
              </w:rPr>
            </w:pPr>
            <w:r w:rsidRPr="006C5209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02D82" w:rsidRDefault="00902D82" w:rsidP="00902D82">
      <w:pPr>
        <w:jc w:val="both"/>
        <w:rPr>
          <w:sz w:val="28"/>
          <w:szCs w:val="28"/>
        </w:rPr>
      </w:pPr>
    </w:p>
    <w:p w:rsidR="006C5209" w:rsidRPr="006C5209" w:rsidRDefault="006C5209" w:rsidP="00902D82">
      <w:pPr>
        <w:jc w:val="both"/>
        <w:rPr>
          <w:sz w:val="28"/>
          <w:szCs w:val="28"/>
        </w:rPr>
      </w:pPr>
      <w:r w:rsidRPr="006C5209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6C5209" w:rsidRPr="006C5209" w:rsidRDefault="006C5209" w:rsidP="00902D82">
      <w:pPr>
        <w:ind w:firstLine="708"/>
        <w:jc w:val="both"/>
        <w:rPr>
          <w:sz w:val="28"/>
          <w:szCs w:val="28"/>
        </w:rPr>
      </w:pPr>
      <w:r w:rsidRPr="006C5209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6C5209" w:rsidRPr="006C5209" w:rsidRDefault="00902D82" w:rsidP="00902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209" w:rsidRPr="006C5209">
        <w:rPr>
          <w:sz w:val="28"/>
          <w:szCs w:val="28"/>
        </w:rPr>
        <w:t xml:space="preserve">3. Настоящее решение опубликовать на официальном сайте администрации сельского поселения </w:t>
      </w:r>
      <w:r>
        <w:rPr>
          <w:sz w:val="28"/>
          <w:szCs w:val="28"/>
        </w:rPr>
        <w:t xml:space="preserve">Кужбахтинский </w:t>
      </w:r>
      <w:r w:rsidR="006C5209" w:rsidRPr="006C5209">
        <w:rPr>
          <w:sz w:val="28"/>
          <w:szCs w:val="28"/>
        </w:rPr>
        <w:t>сельсовет муниципального района Илишевский район Республики Башкортостан.</w:t>
      </w:r>
    </w:p>
    <w:p w:rsidR="00DF2CDB" w:rsidRPr="006C5209" w:rsidRDefault="00DF2CDB" w:rsidP="00902D82">
      <w:pPr>
        <w:jc w:val="both"/>
        <w:rPr>
          <w:sz w:val="28"/>
          <w:szCs w:val="28"/>
        </w:rPr>
      </w:pPr>
    </w:p>
    <w:p w:rsidR="00DF2CDB" w:rsidRDefault="00DF2CDB" w:rsidP="00902D82">
      <w:pPr>
        <w:jc w:val="both"/>
        <w:rPr>
          <w:sz w:val="28"/>
          <w:szCs w:val="28"/>
        </w:rPr>
      </w:pPr>
    </w:p>
    <w:p w:rsidR="00902D82" w:rsidRPr="006C5209" w:rsidRDefault="00902D82" w:rsidP="00902D82">
      <w:pPr>
        <w:jc w:val="both"/>
        <w:rPr>
          <w:sz w:val="28"/>
          <w:szCs w:val="28"/>
        </w:rPr>
      </w:pPr>
    </w:p>
    <w:p w:rsidR="00DF2CDB" w:rsidRPr="006C5209" w:rsidRDefault="00DF2CDB" w:rsidP="00902D82">
      <w:pPr>
        <w:jc w:val="both"/>
        <w:rPr>
          <w:sz w:val="28"/>
          <w:szCs w:val="28"/>
        </w:rPr>
      </w:pPr>
      <w:r w:rsidRPr="006C5209">
        <w:rPr>
          <w:sz w:val="28"/>
          <w:szCs w:val="28"/>
        </w:rPr>
        <w:t xml:space="preserve">Глава сельского поселения                                                        </w:t>
      </w:r>
      <w:r w:rsidRPr="006C5209">
        <w:rPr>
          <w:sz w:val="28"/>
          <w:szCs w:val="28"/>
        </w:rPr>
        <w:tab/>
        <w:t xml:space="preserve">        А.Р.Юсупов</w:t>
      </w:r>
    </w:p>
    <w:p w:rsidR="00DF2CDB" w:rsidRPr="006C5209" w:rsidRDefault="00DF2CDB" w:rsidP="00DF2CDB">
      <w:pPr>
        <w:rPr>
          <w:sz w:val="28"/>
          <w:szCs w:val="28"/>
        </w:rPr>
      </w:pPr>
    </w:p>
    <w:p w:rsidR="00E14FDD" w:rsidRPr="006C5209" w:rsidRDefault="00E14FDD" w:rsidP="00E6527E">
      <w:pPr>
        <w:widowControl/>
        <w:autoSpaceDE/>
        <w:autoSpaceDN/>
        <w:adjustRightInd/>
        <w:rPr>
          <w:color w:val="FF0000"/>
          <w:sz w:val="28"/>
          <w:szCs w:val="28"/>
        </w:rPr>
      </w:pPr>
    </w:p>
    <w:p w:rsidR="00B613CF" w:rsidRPr="006C5209" w:rsidRDefault="009B6CB0" w:rsidP="00CD0306">
      <w:pPr>
        <w:widowControl/>
        <w:autoSpaceDE/>
        <w:autoSpaceDN/>
        <w:adjustRightInd/>
        <w:ind w:right="327"/>
        <w:rPr>
          <w:sz w:val="28"/>
          <w:szCs w:val="28"/>
        </w:rPr>
      </w:pPr>
      <w:r w:rsidRPr="006C5209">
        <w:rPr>
          <w:sz w:val="28"/>
          <w:szCs w:val="28"/>
        </w:rPr>
        <w:t xml:space="preserve"> </w:t>
      </w:r>
      <w:r w:rsidR="00D77A14" w:rsidRPr="006C5209">
        <w:rPr>
          <w:sz w:val="28"/>
          <w:szCs w:val="28"/>
        </w:rPr>
        <w:t xml:space="preserve">    </w:t>
      </w:r>
    </w:p>
    <w:p w:rsidR="00D77A14" w:rsidRPr="00902D82" w:rsidRDefault="00B613CF" w:rsidP="00CD0306">
      <w:pPr>
        <w:widowControl/>
        <w:autoSpaceDE/>
        <w:autoSpaceDN/>
        <w:adjustRightInd/>
        <w:ind w:right="327"/>
        <w:rPr>
          <w:sz w:val="22"/>
          <w:szCs w:val="22"/>
        </w:rPr>
      </w:pPr>
      <w:r w:rsidRPr="006C5209">
        <w:rPr>
          <w:sz w:val="28"/>
          <w:szCs w:val="28"/>
        </w:rPr>
        <w:t xml:space="preserve">    </w:t>
      </w:r>
      <w:r w:rsidR="00D77A14" w:rsidRPr="006C5209">
        <w:rPr>
          <w:sz w:val="28"/>
          <w:szCs w:val="28"/>
        </w:rPr>
        <w:t xml:space="preserve"> </w:t>
      </w:r>
      <w:r w:rsidR="00ED7295" w:rsidRPr="006C5209">
        <w:rPr>
          <w:sz w:val="28"/>
          <w:szCs w:val="28"/>
        </w:rPr>
        <w:t xml:space="preserve">   </w:t>
      </w:r>
      <w:r w:rsidR="00B85DE4" w:rsidRPr="006C5209">
        <w:rPr>
          <w:sz w:val="28"/>
          <w:szCs w:val="28"/>
        </w:rPr>
        <w:t xml:space="preserve">   </w:t>
      </w:r>
      <w:r w:rsidR="00D77A14" w:rsidRPr="00902D82">
        <w:rPr>
          <w:sz w:val="22"/>
          <w:szCs w:val="22"/>
        </w:rPr>
        <w:t>с.Тазеево</w:t>
      </w:r>
    </w:p>
    <w:p w:rsidR="00C404B8" w:rsidRPr="00902D82" w:rsidRDefault="00B74BE3" w:rsidP="00D77A14">
      <w:pPr>
        <w:rPr>
          <w:sz w:val="22"/>
          <w:szCs w:val="22"/>
        </w:rPr>
      </w:pPr>
      <w:r w:rsidRPr="00902D82">
        <w:rPr>
          <w:sz w:val="22"/>
          <w:szCs w:val="22"/>
        </w:rPr>
        <w:t>«</w:t>
      </w:r>
      <w:r w:rsidR="00573D49" w:rsidRPr="00902D82">
        <w:rPr>
          <w:sz w:val="22"/>
          <w:szCs w:val="22"/>
        </w:rPr>
        <w:t>23</w:t>
      </w:r>
      <w:r w:rsidRPr="00902D82">
        <w:rPr>
          <w:sz w:val="22"/>
          <w:szCs w:val="22"/>
        </w:rPr>
        <w:t xml:space="preserve">»  </w:t>
      </w:r>
      <w:r w:rsidR="00573D49" w:rsidRPr="00902D82">
        <w:rPr>
          <w:sz w:val="22"/>
          <w:szCs w:val="22"/>
        </w:rPr>
        <w:t>апрел</w:t>
      </w:r>
      <w:r w:rsidR="00392EE8" w:rsidRPr="00902D82">
        <w:rPr>
          <w:sz w:val="22"/>
          <w:szCs w:val="22"/>
        </w:rPr>
        <w:t>я</w:t>
      </w:r>
      <w:r w:rsidR="00933A16" w:rsidRPr="00902D82">
        <w:rPr>
          <w:sz w:val="22"/>
          <w:szCs w:val="22"/>
        </w:rPr>
        <w:t xml:space="preserve"> </w:t>
      </w:r>
      <w:r w:rsidR="00D77A14" w:rsidRPr="00902D82">
        <w:rPr>
          <w:sz w:val="22"/>
          <w:szCs w:val="22"/>
        </w:rPr>
        <w:t xml:space="preserve"> 20</w:t>
      </w:r>
      <w:r w:rsidR="00573D49" w:rsidRPr="00902D82">
        <w:rPr>
          <w:sz w:val="22"/>
          <w:szCs w:val="22"/>
        </w:rPr>
        <w:t>20</w:t>
      </w:r>
      <w:r w:rsidR="00D77A14" w:rsidRPr="00902D82">
        <w:rPr>
          <w:sz w:val="22"/>
          <w:szCs w:val="22"/>
        </w:rPr>
        <w:t xml:space="preserve"> год</w:t>
      </w:r>
      <w:r w:rsidR="00CD0306" w:rsidRPr="00902D82">
        <w:rPr>
          <w:sz w:val="22"/>
          <w:szCs w:val="22"/>
        </w:rPr>
        <w:t>а</w:t>
      </w:r>
    </w:p>
    <w:p w:rsidR="00CC51CD" w:rsidRPr="00902D82" w:rsidRDefault="00713FFB" w:rsidP="004C64FF">
      <w:pPr>
        <w:rPr>
          <w:sz w:val="22"/>
          <w:szCs w:val="22"/>
        </w:rPr>
      </w:pPr>
      <w:r w:rsidRPr="00902D82">
        <w:rPr>
          <w:sz w:val="22"/>
          <w:szCs w:val="22"/>
        </w:rPr>
        <w:t xml:space="preserve">        </w:t>
      </w:r>
      <w:r w:rsidR="00ED7295" w:rsidRPr="00902D82">
        <w:rPr>
          <w:sz w:val="22"/>
          <w:szCs w:val="22"/>
        </w:rPr>
        <w:t xml:space="preserve"> </w:t>
      </w:r>
      <w:r w:rsidR="00B85DE4" w:rsidRPr="00902D82">
        <w:rPr>
          <w:sz w:val="22"/>
          <w:szCs w:val="22"/>
        </w:rPr>
        <w:t xml:space="preserve">   </w:t>
      </w:r>
      <w:r w:rsidR="00902D82">
        <w:rPr>
          <w:sz w:val="22"/>
          <w:szCs w:val="22"/>
        </w:rPr>
        <w:t xml:space="preserve">  </w:t>
      </w:r>
      <w:r w:rsidR="00B85DE4" w:rsidRPr="00902D82">
        <w:rPr>
          <w:sz w:val="22"/>
          <w:szCs w:val="22"/>
        </w:rPr>
        <w:t xml:space="preserve"> </w:t>
      </w:r>
      <w:r w:rsidR="00ED7295" w:rsidRPr="00902D82">
        <w:rPr>
          <w:sz w:val="22"/>
          <w:szCs w:val="22"/>
        </w:rPr>
        <w:t xml:space="preserve"> </w:t>
      </w:r>
      <w:r w:rsidRPr="00902D82">
        <w:rPr>
          <w:sz w:val="22"/>
          <w:szCs w:val="22"/>
        </w:rPr>
        <w:t xml:space="preserve">№ </w:t>
      </w:r>
      <w:r w:rsidR="00573D49" w:rsidRPr="00902D82">
        <w:rPr>
          <w:sz w:val="22"/>
          <w:szCs w:val="22"/>
        </w:rPr>
        <w:t>9-</w:t>
      </w:r>
      <w:r w:rsidR="006C5209" w:rsidRPr="00902D82">
        <w:rPr>
          <w:sz w:val="22"/>
          <w:szCs w:val="22"/>
        </w:rPr>
        <w:t>3</w:t>
      </w:r>
    </w:p>
    <w:p w:rsidR="007C187D" w:rsidRPr="006C5209" w:rsidRDefault="007C187D" w:rsidP="006C5209">
      <w:pPr>
        <w:rPr>
          <w:sz w:val="28"/>
          <w:szCs w:val="28"/>
        </w:rPr>
      </w:pPr>
      <w:r w:rsidRPr="006C5209">
        <w:rPr>
          <w:sz w:val="28"/>
          <w:szCs w:val="28"/>
        </w:rPr>
        <w:tab/>
      </w:r>
      <w:r w:rsidRPr="006C5209">
        <w:rPr>
          <w:sz w:val="28"/>
          <w:szCs w:val="28"/>
        </w:rPr>
        <w:tab/>
      </w:r>
    </w:p>
    <w:p w:rsidR="007C187D" w:rsidRPr="006C5209" w:rsidRDefault="007C187D" w:rsidP="004C64FF">
      <w:pPr>
        <w:rPr>
          <w:sz w:val="28"/>
          <w:szCs w:val="28"/>
        </w:rPr>
      </w:pPr>
    </w:p>
    <w:sectPr w:rsidR="007C187D" w:rsidRPr="006C5209" w:rsidSect="00D77A14">
      <w:pgSz w:w="11909" w:h="16834"/>
      <w:pgMar w:top="1134" w:right="995" w:bottom="720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801547"/>
    <w:multiLevelType w:val="multilevel"/>
    <w:tmpl w:val="92765E6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19D408A9"/>
    <w:multiLevelType w:val="hybridMultilevel"/>
    <w:tmpl w:val="7DF23A98"/>
    <w:lvl w:ilvl="0" w:tplc="DC30D9FE">
      <w:start w:val="2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5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7E220D"/>
    <w:multiLevelType w:val="singleLevel"/>
    <w:tmpl w:val="1154353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59D14DA"/>
    <w:multiLevelType w:val="hybridMultilevel"/>
    <w:tmpl w:val="7E50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0CA9"/>
    <w:rsid w:val="000212D0"/>
    <w:rsid w:val="000364E0"/>
    <w:rsid w:val="000507F3"/>
    <w:rsid w:val="00061DE6"/>
    <w:rsid w:val="000734D4"/>
    <w:rsid w:val="0007379C"/>
    <w:rsid w:val="00085D3A"/>
    <w:rsid w:val="000C0454"/>
    <w:rsid w:val="000E1FAF"/>
    <w:rsid w:val="00145716"/>
    <w:rsid w:val="001514F2"/>
    <w:rsid w:val="00166B4E"/>
    <w:rsid w:val="001720F2"/>
    <w:rsid w:val="00184E25"/>
    <w:rsid w:val="00185C26"/>
    <w:rsid w:val="001A4641"/>
    <w:rsid w:val="002570D2"/>
    <w:rsid w:val="0026108F"/>
    <w:rsid w:val="00261C94"/>
    <w:rsid w:val="00262E7A"/>
    <w:rsid w:val="00263C27"/>
    <w:rsid w:val="00265B73"/>
    <w:rsid w:val="00271592"/>
    <w:rsid w:val="00295117"/>
    <w:rsid w:val="002A26C0"/>
    <w:rsid w:val="002B0868"/>
    <w:rsid w:val="002D2037"/>
    <w:rsid w:val="002D4ECD"/>
    <w:rsid w:val="00307E5E"/>
    <w:rsid w:val="00323012"/>
    <w:rsid w:val="0032587A"/>
    <w:rsid w:val="00332056"/>
    <w:rsid w:val="00392EE8"/>
    <w:rsid w:val="003A1D17"/>
    <w:rsid w:val="003A38CA"/>
    <w:rsid w:val="003A6CC7"/>
    <w:rsid w:val="003D730E"/>
    <w:rsid w:val="003F675C"/>
    <w:rsid w:val="0040137C"/>
    <w:rsid w:val="004053E9"/>
    <w:rsid w:val="00416FEF"/>
    <w:rsid w:val="0042458B"/>
    <w:rsid w:val="00453002"/>
    <w:rsid w:val="00470FA8"/>
    <w:rsid w:val="004775B9"/>
    <w:rsid w:val="00491C79"/>
    <w:rsid w:val="004C64FF"/>
    <w:rsid w:val="004D3507"/>
    <w:rsid w:val="00514A0E"/>
    <w:rsid w:val="00573D49"/>
    <w:rsid w:val="005A4D58"/>
    <w:rsid w:val="005B3534"/>
    <w:rsid w:val="005D4312"/>
    <w:rsid w:val="005F036F"/>
    <w:rsid w:val="006113F3"/>
    <w:rsid w:val="006457A3"/>
    <w:rsid w:val="00654CC0"/>
    <w:rsid w:val="00667F8E"/>
    <w:rsid w:val="006907F0"/>
    <w:rsid w:val="00693080"/>
    <w:rsid w:val="006B3A3B"/>
    <w:rsid w:val="006C5209"/>
    <w:rsid w:val="006C5A8B"/>
    <w:rsid w:val="006E037D"/>
    <w:rsid w:val="006E1CFC"/>
    <w:rsid w:val="006E3E48"/>
    <w:rsid w:val="006E6B80"/>
    <w:rsid w:val="006F49E4"/>
    <w:rsid w:val="00713FFB"/>
    <w:rsid w:val="00716C7B"/>
    <w:rsid w:val="00746F9F"/>
    <w:rsid w:val="00765AA7"/>
    <w:rsid w:val="007A514E"/>
    <w:rsid w:val="007A76EA"/>
    <w:rsid w:val="007A7947"/>
    <w:rsid w:val="007C187D"/>
    <w:rsid w:val="007C39AD"/>
    <w:rsid w:val="007D2AD2"/>
    <w:rsid w:val="007D30FA"/>
    <w:rsid w:val="00820CA9"/>
    <w:rsid w:val="0089595B"/>
    <w:rsid w:val="008D103E"/>
    <w:rsid w:val="009001D1"/>
    <w:rsid w:val="00902D82"/>
    <w:rsid w:val="00912B70"/>
    <w:rsid w:val="009263E0"/>
    <w:rsid w:val="00933A16"/>
    <w:rsid w:val="00942688"/>
    <w:rsid w:val="009577EE"/>
    <w:rsid w:val="00960753"/>
    <w:rsid w:val="0096227E"/>
    <w:rsid w:val="009B5C7D"/>
    <w:rsid w:val="009B6CB0"/>
    <w:rsid w:val="00A24DE8"/>
    <w:rsid w:val="00A27330"/>
    <w:rsid w:val="00A407A3"/>
    <w:rsid w:val="00A604F4"/>
    <w:rsid w:val="00A763F6"/>
    <w:rsid w:val="00AD2ECD"/>
    <w:rsid w:val="00AE0080"/>
    <w:rsid w:val="00B10C64"/>
    <w:rsid w:val="00B27FCD"/>
    <w:rsid w:val="00B33356"/>
    <w:rsid w:val="00B34349"/>
    <w:rsid w:val="00B40ABB"/>
    <w:rsid w:val="00B430EF"/>
    <w:rsid w:val="00B613CF"/>
    <w:rsid w:val="00B74BE3"/>
    <w:rsid w:val="00B85DE4"/>
    <w:rsid w:val="00BA70A7"/>
    <w:rsid w:val="00C404B8"/>
    <w:rsid w:val="00C44C71"/>
    <w:rsid w:val="00C47A16"/>
    <w:rsid w:val="00C76AE3"/>
    <w:rsid w:val="00C76FCE"/>
    <w:rsid w:val="00CA06F2"/>
    <w:rsid w:val="00CC51CD"/>
    <w:rsid w:val="00CD0306"/>
    <w:rsid w:val="00CD3D52"/>
    <w:rsid w:val="00CE6B71"/>
    <w:rsid w:val="00CF7AFC"/>
    <w:rsid w:val="00D3676D"/>
    <w:rsid w:val="00D409F4"/>
    <w:rsid w:val="00D50A67"/>
    <w:rsid w:val="00D5188D"/>
    <w:rsid w:val="00D60F9E"/>
    <w:rsid w:val="00D64497"/>
    <w:rsid w:val="00D67022"/>
    <w:rsid w:val="00D7621B"/>
    <w:rsid w:val="00D77A14"/>
    <w:rsid w:val="00D96F55"/>
    <w:rsid w:val="00DD4BBC"/>
    <w:rsid w:val="00DF2CDB"/>
    <w:rsid w:val="00DF3C23"/>
    <w:rsid w:val="00E132F6"/>
    <w:rsid w:val="00E14FDD"/>
    <w:rsid w:val="00E332F5"/>
    <w:rsid w:val="00E37B63"/>
    <w:rsid w:val="00E45934"/>
    <w:rsid w:val="00E562BA"/>
    <w:rsid w:val="00E6527E"/>
    <w:rsid w:val="00E708C3"/>
    <w:rsid w:val="00E758AA"/>
    <w:rsid w:val="00E759F7"/>
    <w:rsid w:val="00E93D52"/>
    <w:rsid w:val="00EA2DDD"/>
    <w:rsid w:val="00EC2BED"/>
    <w:rsid w:val="00ED7295"/>
    <w:rsid w:val="00F074F9"/>
    <w:rsid w:val="00FA7CF6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053E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053E9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37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B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7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77A1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77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77A14"/>
    <w:rPr>
      <w:rFonts w:cs="Times New Roman"/>
      <w:sz w:val="16"/>
      <w:szCs w:val="16"/>
    </w:rPr>
  </w:style>
  <w:style w:type="paragraph" w:customStyle="1" w:styleId="ConsPlusNormal">
    <w:name w:val="ConsPlusNormal"/>
    <w:rsid w:val="00D77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63C27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3C27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C64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C64FF"/>
    <w:rPr>
      <w:rFonts w:cs="Times New Roman"/>
      <w:sz w:val="20"/>
      <w:szCs w:val="20"/>
    </w:rPr>
  </w:style>
  <w:style w:type="character" w:customStyle="1" w:styleId="a9">
    <w:name w:val="Основной текст_"/>
    <w:basedOn w:val="a0"/>
    <w:link w:val="1"/>
    <w:locked/>
    <w:rsid w:val="00271592"/>
    <w:rPr>
      <w:rFonts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Курсив"/>
    <w:basedOn w:val="a9"/>
    <w:rsid w:val="00271592"/>
    <w:rPr>
      <w:i/>
      <w:iCs/>
      <w:sz w:val="23"/>
      <w:szCs w:val="23"/>
    </w:rPr>
  </w:style>
  <w:style w:type="paragraph" w:customStyle="1" w:styleId="1">
    <w:name w:val="Основной текст1"/>
    <w:basedOn w:val="a"/>
    <w:link w:val="a9"/>
    <w:rsid w:val="00271592"/>
    <w:pPr>
      <w:widowControl/>
      <w:shd w:val="clear" w:color="auto" w:fill="FFFFFF"/>
      <w:autoSpaceDE/>
      <w:autoSpaceDN/>
      <w:adjustRightInd/>
      <w:spacing w:after="240" w:line="322" w:lineRule="exact"/>
      <w:jc w:val="both"/>
    </w:pPr>
    <w:rPr>
      <w:sz w:val="27"/>
      <w:szCs w:val="27"/>
    </w:rPr>
  </w:style>
  <w:style w:type="paragraph" w:styleId="aa">
    <w:name w:val="List Paragraph"/>
    <w:basedOn w:val="a"/>
    <w:uiPriority w:val="34"/>
    <w:qFormat/>
    <w:rsid w:val="00271592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>Организация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6</cp:lastModifiedBy>
  <cp:revision>2</cp:revision>
  <cp:lastPrinted>2020-04-23T09:38:00Z</cp:lastPrinted>
  <dcterms:created xsi:type="dcterms:W3CDTF">2020-08-05T06:01:00Z</dcterms:created>
  <dcterms:modified xsi:type="dcterms:W3CDTF">2020-08-05T06:01:00Z</dcterms:modified>
</cp:coreProperties>
</file>